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D968" w14:textId="77777777" w:rsidR="00FC528A" w:rsidRPr="00F133FB" w:rsidRDefault="00FC528A" w:rsidP="00FC528A">
      <w:pPr>
        <w:tabs>
          <w:tab w:val="left" w:pos="4395"/>
        </w:tabs>
        <w:jc w:val="center"/>
        <w:rPr>
          <w:rFonts w:ascii="Arial" w:hAnsi="Arial" w:cs="Arial"/>
          <w:bCs/>
          <w:color w:val="000000" w:themeColor="text1"/>
          <w:sz w:val="18"/>
          <w:szCs w:val="18"/>
          <w:lang w:val="es-ES"/>
        </w:rPr>
      </w:pPr>
      <w:bookmarkStart w:id="0" w:name="_GoBack"/>
      <w:bookmarkEnd w:id="0"/>
      <w:r w:rsidRPr="00F133FB">
        <w:rPr>
          <w:rFonts w:ascii="Arial" w:hAnsi="Arial" w:cs="Arial"/>
          <w:bCs/>
          <w:color w:val="000000" w:themeColor="text1"/>
          <w:sz w:val="18"/>
          <w:szCs w:val="18"/>
          <w:lang w:val="es-ES"/>
        </w:rPr>
        <w:t xml:space="preserve">“2022. </w:t>
      </w:r>
      <w:proofErr w:type="spellStart"/>
      <w:r w:rsidRPr="00F133FB">
        <w:rPr>
          <w:rFonts w:ascii="Arial" w:hAnsi="Arial" w:cs="Arial"/>
          <w:bCs/>
          <w:color w:val="000000" w:themeColor="text1"/>
          <w:sz w:val="18"/>
          <w:szCs w:val="18"/>
          <w:lang w:val="es-ES"/>
        </w:rPr>
        <w:t>Quicentenario</w:t>
      </w:r>
      <w:proofErr w:type="spellEnd"/>
      <w:r w:rsidRPr="00F133FB">
        <w:rPr>
          <w:rFonts w:ascii="Arial" w:hAnsi="Arial" w:cs="Arial"/>
          <w:bCs/>
          <w:color w:val="000000" w:themeColor="text1"/>
          <w:sz w:val="18"/>
          <w:szCs w:val="18"/>
          <w:lang w:val="es-ES"/>
        </w:rPr>
        <w:t xml:space="preserve"> de Toluca, Capital del Estado de México”.</w:t>
      </w:r>
    </w:p>
    <w:p w14:paraId="4F593675" w14:textId="77777777" w:rsidR="00FC528A" w:rsidRPr="00F133FB" w:rsidRDefault="00FC528A" w:rsidP="00FC528A">
      <w:pPr>
        <w:tabs>
          <w:tab w:val="left" w:pos="4395"/>
        </w:tabs>
        <w:jc w:val="right"/>
        <w:rPr>
          <w:rFonts w:ascii="Arial" w:hAnsi="Arial" w:cs="Arial"/>
          <w:bCs/>
          <w:color w:val="000000" w:themeColor="text1"/>
          <w:sz w:val="22"/>
          <w:szCs w:val="22"/>
          <w:lang w:val="es-ES"/>
        </w:rPr>
      </w:pPr>
    </w:p>
    <w:p w14:paraId="2C8B11E1" w14:textId="77777777" w:rsidR="00FC528A" w:rsidRPr="00F133FB" w:rsidRDefault="00FC528A" w:rsidP="00FC528A">
      <w:pPr>
        <w:tabs>
          <w:tab w:val="left" w:pos="4395"/>
        </w:tabs>
        <w:jc w:val="right"/>
        <w:rPr>
          <w:rFonts w:ascii="Arial" w:hAnsi="Arial" w:cs="Arial"/>
          <w:bCs/>
          <w:color w:val="000000" w:themeColor="text1"/>
          <w:sz w:val="22"/>
          <w:szCs w:val="22"/>
          <w:lang w:val="es-ES"/>
        </w:rPr>
      </w:pPr>
      <w:r w:rsidRPr="00F133FB">
        <w:rPr>
          <w:rFonts w:ascii="Arial" w:hAnsi="Arial" w:cs="Arial"/>
          <w:bCs/>
          <w:color w:val="000000" w:themeColor="text1"/>
          <w:sz w:val="22"/>
          <w:szCs w:val="22"/>
          <w:lang w:val="es-ES"/>
        </w:rPr>
        <w:t>Toluca de Lerdo, México,</w:t>
      </w:r>
    </w:p>
    <w:p w14:paraId="6E39A360" w14:textId="77777777" w:rsidR="00FC528A" w:rsidRPr="00F133FB" w:rsidRDefault="00FC528A" w:rsidP="00FC528A">
      <w:pPr>
        <w:tabs>
          <w:tab w:val="left" w:pos="4395"/>
        </w:tabs>
        <w:jc w:val="right"/>
        <w:rPr>
          <w:rFonts w:ascii="Arial" w:hAnsi="Arial" w:cs="Arial"/>
          <w:bCs/>
          <w:color w:val="000000" w:themeColor="text1"/>
          <w:sz w:val="22"/>
          <w:szCs w:val="22"/>
          <w:lang w:val="es-ES"/>
        </w:rPr>
      </w:pPr>
      <w:proofErr w:type="spellStart"/>
      <w:r w:rsidRPr="00F133FB">
        <w:rPr>
          <w:rFonts w:ascii="Arial" w:hAnsi="Arial" w:cs="Arial"/>
          <w:bCs/>
          <w:color w:val="000000" w:themeColor="text1"/>
          <w:sz w:val="22"/>
          <w:szCs w:val="22"/>
          <w:lang w:val="es-ES"/>
        </w:rPr>
        <w:t>a</w:t>
      </w:r>
      <w:proofErr w:type="spellEnd"/>
      <w:r w:rsidRPr="00F133FB">
        <w:rPr>
          <w:rFonts w:ascii="Arial" w:hAnsi="Arial" w:cs="Arial"/>
          <w:bCs/>
          <w:color w:val="000000" w:themeColor="text1"/>
          <w:sz w:val="22"/>
          <w:szCs w:val="22"/>
          <w:lang w:val="es-ES"/>
        </w:rPr>
        <w:t xml:space="preserve">       </w:t>
      </w:r>
      <w:proofErr w:type="spellStart"/>
      <w:r w:rsidRPr="00F133FB">
        <w:rPr>
          <w:rFonts w:ascii="Arial" w:hAnsi="Arial" w:cs="Arial"/>
          <w:bCs/>
          <w:color w:val="000000" w:themeColor="text1"/>
          <w:sz w:val="22"/>
          <w:szCs w:val="22"/>
          <w:lang w:val="es-ES"/>
        </w:rPr>
        <w:t>de</w:t>
      </w:r>
      <w:proofErr w:type="spellEnd"/>
      <w:r w:rsidRPr="00F133FB">
        <w:rPr>
          <w:rFonts w:ascii="Arial" w:hAnsi="Arial" w:cs="Arial"/>
          <w:bCs/>
          <w:color w:val="000000" w:themeColor="text1"/>
          <w:sz w:val="22"/>
          <w:szCs w:val="22"/>
          <w:lang w:val="es-ES"/>
        </w:rPr>
        <w:t xml:space="preserve">            </w:t>
      </w:r>
      <w:proofErr w:type="spellStart"/>
      <w:r w:rsidRPr="00F133FB">
        <w:rPr>
          <w:rFonts w:ascii="Arial" w:hAnsi="Arial" w:cs="Arial"/>
          <w:bCs/>
          <w:color w:val="000000" w:themeColor="text1"/>
          <w:sz w:val="22"/>
          <w:szCs w:val="22"/>
          <w:lang w:val="es-ES"/>
        </w:rPr>
        <w:t>de</w:t>
      </w:r>
      <w:proofErr w:type="spellEnd"/>
      <w:r w:rsidRPr="00F133FB">
        <w:rPr>
          <w:rFonts w:ascii="Arial" w:hAnsi="Arial" w:cs="Arial"/>
          <w:bCs/>
          <w:color w:val="000000" w:themeColor="text1"/>
          <w:sz w:val="22"/>
          <w:szCs w:val="22"/>
          <w:lang w:val="es-ES"/>
        </w:rPr>
        <w:t xml:space="preserve"> 2022.</w:t>
      </w:r>
    </w:p>
    <w:p w14:paraId="343D9462" w14:textId="77777777" w:rsidR="00FC528A" w:rsidRPr="00F133FB" w:rsidRDefault="00FC528A" w:rsidP="00FC528A">
      <w:pPr>
        <w:tabs>
          <w:tab w:val="left" w:pos="4395"/>
        </w:tabs>
        <w:rPr>
          <w:rFonts w:ascii="Arial" w:hAnsi="Arial" w:cs="Arial"/>
          <w:b/>
          <w:color w:val="000000" w:themeColor="text1"/>
          <w:sz w:val="22"/>
          <w:szCs w:val="22"/>
          <w:lang w:val="es-ES"/>
        </w:rPr>
      </w:pPr>
    </w:p>
    <w:p w14:paraId="39724CD8" w14:textId="77777777" w:rsidR="00FC528A" w:rsidRPr="00F133FB" w:rsidRDefault="00FC528A" w:rsidP="00FC528A">
      <w:pPr>
        <w:tabs>
          <w:tab w:val="left" w:pos="4395"/>
        </w:tabs>
        <w:rPr>
          <w:rFonts w:ascii="Arial" w:hAnsi="Arial" w:cs="Arial"/>
          <w:b/>
          <w:color w:val="000000" w:themeColor="text1"/>
          <w:sz w:val="22"/>
          <w:szCs w:val="22"/>
          <w:lang w:val="es-ES"/>
        </w:rPr>
      </w:pPr>
    </w:p>
    <w:p w14:paraId="18BF58E5" w14:textId="77777777" w:rsidR="00FC528A" w:rsidRPr="00FE5C09" w:rsidRDefault="00FC528A" w:rsidP="00FC528A">
      <w:pPr>
        <w:rPr>
          <w:rFonts w:ascii="Arial" w:eastAsia="Arial" w:hAnsi="Arial" w:cs="Arial"/>
          <w:b/>
          <w:color w:val="000000"/>
          <w:sz w:val="22"/>
          <w:szCs w:val="22"/>
        </w:rPr>
      </w:pPr>
      <w:r w:rsidRPr="00FE5C09">
        <w:rPr>
          <w:rFonts w:ascii="Arial" w:eastAsia="Arial" w:hAnsi="Arial" w:cs="Arial"/>
          <w:b/>
          <w:color w:val="000000"/>
          <w:sz w:val="22"/>
          <w:szCs w:val="22"/>
        </w:rPr>
        <w:t>DIPUTAD</w:t>
      </w:r>
      <w:r>
        <w:rPr>
          <w:rFonts w:ascii="Arial" w:eastAsia="Arial" w:hAnsi="Arial" w:cs="Arial"/>
          <w:b/>
          <w:color w:val="000000"/>
          <w:sz w:val="22"/>
          <w:szCs w:val="22"/>
        </w:rPr>
        <w:t>O</w:t>
      </w:r>
    </w:p>
    <w:p w14:paraId="7FC20E0C" w14:textId="77777777" w:rsidR="00FC528A" w:rsidRPr="00650000" w:rsidRDefault="00FC528A" w:rsidP="00FC528A">
      <w:pPr>
        <w:ind w:right="4252"/>
        <w:rPr>
          <w:rFonts w:ascii="Arial" w:eastAsia="Arial" w:hAnsi="Arial" w:cs="Arial"/>
          <w:b/>
          <w:color w:val="000000"/>
          <w:sz w:val="22"/>
          <w:szCs w:val="22"/>
        </w:rPr>
      </w:pPr>
      <w:r w:rsidRPr="00650000">
        <w:rPr>
          <w:rFonts w:ascii="Arial" w:eastAsia="Arial" w:hAnsi="Arial" w:cs="Arial"/>
          <w:b/>
          <w:color w:val="000000"/>
          <w:sz w:val="22"/>
          <w:szCs w:val="22"/>
        </w:rPr>
        <w:t>ENRIQUE EDGARDO JACOB ROCHA</w:t>
      </w:r>
    </w:p>
    <w:p w14:paraId="52A1DFCA" w14:textId="77777777" w:rsidR="00FC528A" w:rsidRPr="00FE5C09" w:rsidRDefault="00FC528A" w:rsidP="00FC528A">
      <w:pPr>
        <w:ind w:right="4252"/>
        <w:rPr>
          <w:rFonts w:ascii="Arial" w:eastAsia="Arial" w:hAnsi="Arial" w:cs="Arial"/>
          <w:b/>
          <w:color w:val="000000"/>
          <w:sz w:val="22"/>
          <w:szCs w:val="22"/>
        </w:rPr>
      </w:pPr>
      <w:r w:rsidRPr="00FE5C09">
        <w:rPr>
          <w:rFonts w:ascii="Arial" w:eastAsia="Arial" w:hAnsi="Arial" w:cs="Arial"/>
          <w:b/>
          <w:color w:val="000000"/>
          <w:sz w:val="22"/>
          <w:szCs w:val="22"/>
        </w:rPr>
        <w:t>PRESIDENT</w:t>
      </w:r>
      <w:r>
        <w:rPr>
          <w:rFonts w:ascii="Arial" w:eastAsia="Arial" w:hAnsi="Arial" w:cs="Arial"/>
          <w:b/>
          <w:color w:val="000000"/>
          <w:sz w:val="22"/>
          <w:szCs w:val="22"/>
        </w:rPr>
        <w:t>E</w:t>
      </w:r>
      <w:r w:rsidRPr="00FE5C09">
        <w:rPr>
          <w:rFonts w:ascii="Arial" w:eastAsia="Arial" w:hAnsi="Arial" w:cs="Arial"/>
          <w:b/>
          <w:color w:val="000000"/>
          <w:sz w:val="22"/>
          <w:szCs w:val="22"/>
        </w:rPr>
        <w:t xml:space="preserve"> DE LA “LXI” LEGISLATURA DEL ESTADO DE MÉXICO</w:t>
      </w:r>
    </w:p>
    <w:p w14:paraId="4D6A23DF" w14:textId="77777777" w:rsidR="00FC528A" w:rsidRPr="00FE5C09" w:rsidRDefault="00FC528A" w:rsidP="00FC528A">
      <w:pPr>
        <w:rPr>
          <w:rFonts w:ascii="Arial" w:eastAsia="Arial" w:hAnsi="Arial" w:cs="Arial"/>
          <w:b/>
          <w:color w:val="000000"/>
          <w:sz w:val="22"/>
          <w:szCs w:val="22"/>
        </w:rPr>
      </w:pPr>
      <w:r w:rsidRPr="00FE5C09">
        <w:rPr>
          <w:rFonts w:ascii="Arial" w:eastAsia="Arial" w:hAnsi="Arial" w:cs="Arial"/>
          <w:b/>
          <w:color w:val="000000"/>
          <w:sz w:val="22"/>
          <w:szCs w:val="22"/>
        </w:rPr>
        <w:t xml:space="preserve">PRESENTE </w:t>
      </w:r>
    </w:p>
    <w:p w14:paraId="7BEEF541" w14:textId="77777777" w:rsidR="00FC528A" w:rsidRPr="00C41747" w:rsidRDefault="00FC528A" w:rsidP="00FC528A">
      <w:pPr>
        <w:tabs>
          <w:tab w:val="left" w:pos="4395"/>
        </w:tabs>
        <w:jc w:val="both"/>
        <w:rPr>
          <w:rFonts w:ascii="Arial" w:hAnsi="Arial" w:cs="Arial"/>
          <w:b/>
          <w:bCs/>
          <w:color w:val="000000" w:themeColor="text1"/>
          <w:sz w:val="22"/>
          <w:szCs w:val="22"/>
        </w:rPr>
      </w:pPr>
    </w:p>
    <w:p w14:paraId="1943B740" w14:textId="624A53B5" w:rsidR="00FC528A" w:rsidRPr="00F133FB" w:rsidRDefault="00FC528A" w:rsidP="00FC528A">
      <w:pPr>
        <w:pStyle w:val="Default"/>
        <w:tabs>
          <w:tab w:val="left" w:pos="4395"/>
        </w:tabs>
        <w:jc w:val="both"/>
        <w:rPr>
          <w:color w:val="000000" w:themeColor="text1"/>
          <w:sz w:val="22"/>
          <w:szCs w:val="22"/>
          <w:lang w:val="es-ES"/>
        </w:rPr>
      </w:pPr>
      <w:r w:rsidRPr="001F0EE1">
        <w:rPr>
          <w:color w:val="000000" w:themeColor="text1"/>
          <w:sz w:val="22"/>
          <w:szCs w:val="22"/>
          <w:lang w:val="es-ES"/>
        </w:rPr>
        <w:t>Con fundamento en lo dispuesto en los artículos 51</w:t>
      </w:r>
      <w:r>
        <w:rPr>
          <w:color w:val="000000" w:themeColor="text1"/>
          <w:sz w:val="22"/>
          <w:szCs w:val="22"/>
          <w:lang w:val="es-ES"/>
        </w:rPr>
        <w:t>,</w:t>
      </w:r>
      <w:r w:rsidRPr="001F0EE1">
        <w:rPr>
          <w:color w:val="000000" w:themeColor="text1"/>
          <w:sz w:val="22"/>
          <w:szCs w:val="22"/>
          <w:lang w:val="es-ES"/>
        </w:rPr>
        <w:t xml:space="preserve"> fracción II, 57 y 61</w:t>
      </w:r>
      <w:r>
        <w:rPr>
          <w:color w:val="000000" w:themeColor="text1"/>
          <w:sz w:val="22"/>
          <w:szCs w:val="22"/>
          <w:lang w:val="es-ES"/>
        </w:rPr>
        <w:t>,</w:t>
      </w:r>
      <w:r w:rsidRPr="001F0EE1">
        <w:rPr>
          <w:color w:val="000000" w:themeColor="text1"/>
          <w:sz w:val="22"/>
          <w:szCs w:val="22"/>
          <w:lang w:val="es-ES"/>
        </w:rPr>
        <w:t xml:space="preserve"> fracción I de la Constitución Política del Estado Libre y Soberano de México, y 28, fracción I, 79 y 81 de la Ley Orgánica del Poder Legislativo del Estado Libre y Soberano de México; quien suscribe Diputad</w:t>
      </w:r>
      <w:r>
        <w:rPr>
          <w:color w:val="000000" w:themeColor="text1"/>
          <w:sz w:val="22"/>
          <w:szCs w:val="22"/>
          <w:lang w:val="es-ES"/>
        </w:rPr>
        <w:t>o</w:t>
      </w:r>
      <w:r w:rsidRPr="001F0EE1">
        <w:rPr>
          <w:color w:val="000000" w:themeColor="text1"/>
          <w:sz w:val="22"/>
          <w:szCs w:val="22"/>
          <w:lang w:val="es-ES"/>
        </w:rPr>
        <w:t xml:space="preserve">        , integrante del Grupo Parlamentario del Partido</w:t>
      </w:r>
      <w:r w:rsidR="000A78CD">
        <w:rPr>
          <w:color w:val="000000" w:themeColor="text1"/>
          <w:sz w:val="22"/>
          <w:szCs w:val="22"/>
          <w:lang w:val="es-ES"/>
        </w:rPr>
        <w:t xml:space="preserve">        , </w:t>
      </w:r>
      <w:r>
        <w:rPr>
          <w:color w:val="000000" w:themeColor="text1"/>
          <w:sz w:val="22"/>
          <w:szCs w:val="22"/>
          <w:lang w:val="es-ES"/>
        </w:rPr>
        <w:t>someto</w:t>
      </w:r>
      <w:r w:rsidRPr="001F0EE1">
        <w:rPr>
          <w:color w:val="000000" w:themeColor="text1"/>
          <w:sz w:val="22"/>
          <w:szCs w:val="22"/>
          <w:lang w:val="es-ES"/>
        </w:rPr>
        <w:t xml:space="preserve"> a la consideración de esta Honorable Legislatura la </w:t>
      </w:r>
      <w:r w:rsidRPr="00F133FB">
        <w:rPr>
          <w:color w:val="000000" w:themeColor="text1"/>
          <w:sz w:val="22"/>
          <w:szCs w:val="22"/>
          <w:lang w:val="es-ES"/>
        </w:rPr>
        <w:t>presente Iniciativa de Decreto por el que se</w:t>
      </w:r>
      <w:r w:rsidR="000A78CD">
        <w:rPr>
          <w:color w:val="000000" w:themeColor="text1"/>
          <w:sz w:val="22"/>
          <w:szCs w:val="22"/>
          <w:lang w:val="es-ES"/>
        </w:rPr>
        <w:t xml:space="preserve"> reforma</w:t>
      </w:r>
      <w:r w:rsidRPr="00F133FB">
        <w:rPr>
          <w:color w:val="000000" w:themeColor="text1"/>
          <w:sz w:val="22"/>
          <w:szCs w:val="22"/>
          <w:lang w:val="es-ES"/>
        </w:rPr>
        <w:t xml:space="preserve"> </w:t>
      </w:r>
      <w:r w:rsidR="000A78CD" w:rsidRPr="000A78CD">
        <w:rPr>
          <w:rFonts w:eastAsia="Arial"/>
          <w:color w:val="000000" w:themeColor="text1"/>
          <w:sz w:val="22"/>
          <w:szCs w:val="22"/>
        </w:rPr>
        <w:t>el segundo párrafo del artículo 94 Bis de la Ley</w:t>
      </w:r>
      <w:r w:rsidR="000A78CD" w:rsidRPr="000A78CD">
        <w:rPr>
          <w:rFonts w:eastAsia="Arial"/>
          <w:color w:val="000000" w:themeColor="text1"/>
          <w:sz w:val="22"/>
          <w:szCs w:val="22"/>
          <w:lang w:val="es-ES"/>
        </w:rPr>
        <w:t xml:space="preserve"> de los Derechos de Niñas, Niños y Adolescentes del Estado de México</w:t>
      </w:r>
      <w:r w:rsidRPr="00F133FB">
        <w:rPr>
          <w:color w:val="000000" w:themeColor="text1"/>
          <w:sz w:val="22"/>
          <w:szCs w:val="22"/>
          <w:lang w:val="es-ES"/>
        </w:rPr>
        <w:t>, que tiene sustento en la siguiente:</w:t>
      </w:r>
    </w:p>
    <w:p w14:paraId="55D9D6CF" w14:textId="77777777" w:rsidR="00FC528A" w:rsidRPr="00F133FB" w:rsidRDefault="00FC528A" w:rsidP="00FC528A">
      <w:pPr>
        <w:tabs>
          <w:tab w:val="left" w:pos="4395"/>
        </w:tabs>
        <w:jc w:val="both"/>
        <w:rPr>
          <w:rFonts w:ascii="Arial" w:hAnsi="Arial" w:cs="Arial"/>
          <w:color w:val="000000" w:themeColor="text1"/>
          <w:sz w:val="22"/>
          <w:szCs w:val="22"/>
          <w:lang w:val="es-ES"/>
        </w:rPr>
      </w:pPr>
    </w:p>
    <w:p w14:paraId="2112A4C2" w14:textId="77777777" w:rsidR="00FC528A" w:rsidRPr="00F133FB" w:rsidRDefault="00FC528A" w:rsidP="00FC528A">
      <w:pPr>
        <w:pStyle w:val="Default"/>
        <w:tabs>
          <w:tab w:val="left" w:pos="4395"/>
        </w:tabs>
        <w:jc w:val="center"/>
        <w:rPr>
          <w:b/>
          <w:bCs/>
          <w:color w:val="000000" w:themeColor="text1"/>
          <w:sz w:val="22"/>
          <w:szCs w:val="22"/>
          <w:lang w:val="es-ES"/>
        </w:rPr>
      </w:pPr>
      <w:r w:rsidRPr="00F133FB">
        <w:rPr>
          <w:b/>
          <w:bCs/>
          <w:color w:val="000000" w:themeColor="text1"/>
          <w:sz w:val="22"/>
          <w:szCs w:val="22"/>
          <w:lang w:val="es-ES"/>
        </w:rPr>
        <w:t>EXPOSICIÓN DE MOTIVOS</w:t>
      </w:r>
    </w:p>
    <w:p w14:paraId="63476CFB" w14:textId="77777777" w:rsidR="00FC528A" w:rsidRPr="00F133FB" w:rsidRDefault="00FC528A" w:rsidP="00FC528A">
      <w:pPr>
        <w:jc w:val="both"/>
        <w:rPr>
          <w:rFonts w:ascii="Arial" w:eastAsia="Arial" w:hAnsi="Arial" w:cs="Arial"/>
          <w:b/>
          <w:color w:val="000000" w:themeColor="text1"/>
          <w:sz w:val="22"/>
          <w:szCs w:val="22"/>
          <w:lang w:val="es-ES"/>
        </w:rPr>
      </w:pPr>
    </w:p>
    <w:p w14:paraId="37BA294B" w14:textId="77777777" w:rsidR="00FC528A" w:rsidRPr="00FC528A" w:rsidRDefault="00FC528A" w:rsidP="00FC528A">
      <w:pPr>
        <w:jc w:val="both"/>
        <w:rPr>
          <w:rFonts w:ascii="Arial" w:eastAsia="Arial" w:hAnsi="Arial" w:cs="Arial"/>
          <w:bCs/>
          <w:color w:val="000000" w:themeColor="text1"/>
          <w:sz w:val="22"/>
          <w:szCs w:val="22"/>
          <w:lang w:val="es-MX"/>
        </w:rPr>
      </w:pPr>
      <w:r w:rsidRPr="00FC528A">
        <w:rPr>
          <w:rFonts w:ascii="Arial" w:eastAsia="Arial" w:hAnsi="Arial" w:cs="Arial"/>
          <w:bCs/>
          <w:color w:val="000000" w:themeColor="text1"/>
          <w:sz w:val="22"/>
          <w:szCs w:val="22"/>
          <w:lang w:val="es-MX"/>
        </w:rPr>
        <w:t xml:space="preserve">El 4 de diciembre de 2014 se publicó en el Diario Oficial de la Federación el Decreto por el que se expide la Ley General de los Derechos de Niñas, Niños y Adolescentes que tiene por objeto reconocer a niñas, niños y adolescentes como titulares de derechos, garantizar el pleno ejercicio, respeto, protección y promoción de sus derechos humanos, así como establecer los principios rectores y criterios que orientan la política nacional en materia de derechos de niñas, niños y adolescentes. </w:t>
      </w:r>
    </w:p>
    <w:p w14:paraId="7BCEFCAE" w14:textId="77777777" w:rsidR="00FC528A" w:rsidRPr="00FC528A" w:rsidRDefault="00FC528A" w:rsidP="00FC528A">
      <w:pPr>
        <w:jc w:val="both"/>
        <w:rPr>
          <w:rFonts w:ascii="Arial" w:eastAsia="Arial" w:hAnsi="Arial" w:cs="Arial"/>
          <w:b/>
          <w:bCs/>
          <w:i/>
          <w:color w:val="000000" w:themeColor="text1"/>
          <w:sz w:val="22"/>
          <w:szCs w:val="22"/>
          <w:lang w:val="es-MX"/>
        </w:rPr>
      </w:pPr>
    </w:p>
    <w:p w14:paraId="4EC0A8A1" w14:textId="587A23D0" w:rsidR="00FC528A" w:rsidRPr="00FC528A" w:rsidRDefault="00FC528A" w:rsidP="00FC528A">
      <w:pPr>
        <w:jc w:val="both"/>
        <w:rPr>
          <w:rFonts w:ascii="Arial" w:eastAsia="Arial" w:hAnsi="Arial" w:cs="Arial"/>
          <w:bCs/>
          <w:color w:val="000000" w:themeColor="text1"/>
          <w:sz w:val="22"/>
          <w:szCs w:val="22"/>
          <w:lang w:val="es-ES"/>
        </w:rPr>
      </w:pPr>
      <w:r w:rsidRPr="00FC528A">
        <w:rPr>
          <w:rFonts w:ascii="Arial" w:eastAsia="Arial" w:hAnsi="Arial" w:cs="Arial"/>
          <w:bCs/>
          <w:color w:val="000000" w:themeColor="text1"/>
          <w:sz w:val="22"/>
          <w:szCs w:val="22"/>
          <w:lang w:val="es-ES"/>
        </w:rPr>
        <w:t xml:space="preserve">Para brindar protección integral a las niñas, niños y adolescentes en la entidad, el 7 de mayo de 2015 se publicó en el Periódico Oficial “Gaceta de Gobierno” la Ley de los Derechos de Niñas, Niños y Adolescentes del Estado de México, la cual tiene por objeto garantizar el pleno goce, respeto, protección y promoción de los derechos humanos de niñas, niños y adolescentes conforme a lo establecido en la Constitución Política de los Estados Unidos Mexicanos, en los tratados internacionales de los que el Estado Mexicano forma parte, la Constitución Política del Estado Libre y Soberano de México, la Ley General de los Derechos de Niñas, Niños y Adolescentes, esta Ley y las leyes vigentes que con fundamento en ellas emanen. </w:t>
      </w:r>
    </w:p>
    <w:p w14:paraId="5012076C" w14:textId="77777777" w:rsidR="00FC528A" w:rsidRPr="00FC528A" w:rsidRDefault="00FC528A" w:rsidP="00FC528A">
      <w:pPr>
        <w:jc w:val="both"/>
        <w:rPr>
          <w:rFonts w:ascii="Arial" w:eastAsia="Arial" w:hAnsi="Arial" w:cs="Arial"/>
          <w:bCs/>
          <w:color w:val="000000" w:themeColor="text1"/>
          <w:sz w:val="22"/>
          <w:szCs w:val="22"/>
          <w:lang w:val="es-ES"/>
        </w:rPr>
      </w:pPr>
    </w:p>
    <w:p w14:paraId="5EB39964" w14:textId="1792D7D9" w:rsidR="00FC528A" w:rsidRPr="00FC528A" w:rsidRDefault="00FC528A" w:rsidP="00FC528A">
      <w:pPr>
        <w:jc w:val="both"/>
        <w:rPr>
          <w:rFonts w:ascii="Arial" w:eastAsia="Arial" w:hAnsi="Arial" w:cs="Arial"/>
          <w:bCs/>
          <w:color w:val="000000" w:themeColor="text1"/>
          <w:sz w:val="22"/>
          <w:szCs w:val="22"/>
          <w:lang w:val="es-ES"/>
        </w:rPr>
      </w:pPr>
      <w:r w:rsidRPr="00FC528A">
        <w:rPr>
          <w:rFonts w:ascii="Arial" w:eastAsia="Arial" w:hAnsi="Arial" w:cs="Arial"/>
          <w:bCs/>
          <w:color w:val="000000" w:themeColor="text1"/>
          <w:sz w:val="22"/>
          <w:szCs w:val="22"/>
          <w:lang w:val="es-ES"/>
        </w:rPr>
        <w:t xml:space="preserve">Para la protección integral de las niñas, niños y adolescentes, la citada Ley contempla a la Procuraduría de Protección de Niñas, Niños y Adolescentes del Estado de México como la unidad administrativa dependiente del Sistema para el Desarrollo Integral de la Familia del Estado de México, cuyo objeto es la protección integral y restitución de los derechos de las niñas, niños y adolescentes, a través de la determinación y coordinación </w:t>
      </w:r>
      <w:r w:rsidR="00355928">
        <w:rPr>
          <w:rFonts w:ascii="Arial" w:eastAsia="Arial" w:hAnsi="Arial" w:cs="Arial"/>
          <w:bCs/>
          <w:color w:val="000000" w:themeColor="text1"/>
          <w:sz w:val="22"/>
          <w:szCs w:val="22"/>
          <w:lang w:val="es-ES"/>
        </w:rPr>
        <w:t>d</w:t>
      </w:r>
      <w:r w:rsidRPr="00FC528A">
        <w:rPr>
          <w:rFonts w:ascii="Arial" w:eastAsia="Arial" w:hAnsi="Arial" w:cs="Arial"/>
          <w:bCs/>
          <w:color w:val="000000" w:themeColor="text1"/>
          <w:sz w:val="22"/>
          <w:szCs w:val="22"/>
          <w:lang w:val="es-ES"/>
        </w:rPr>
        <w:t>e la ejecución y seguimiento de las medidas de protección, misma que es la encargada de coordinar a las Procuradurías de Protección Municipales, las cuales ejercen la representación suplente o coadyuvante de niñas, niños y adolescentes involucrados en procesos ministeriales y jurisdiccionales, prestan asesoría y orientación jurídica, y realizan denuncias ante el Ministerio Público por hechos que se presuman constitutivos de delito en contra de niñas, niños y adolescentes, siempre procurando salvaguardar el interés superior de la niñez y la adolescencia.</w:t>
      </w:r>
    </w:p>
    <w:p w14:paraId="2B108565" w14:textId="77777777" w:rsidR="00FC528A" w:rsidRPr="00FC528A" w:rsidRDefault="00FC528A" w:rsidP="00FC528A">
      <w:pPr>
        <w:jc w:val="both"/>
        <w:rPr>
          <w:rFonts w:ascii="Arial" w:eastAsia="Arial" w:hAnsi="Arial" w:cs="Arial"/>
          <w:bCs/>
          <w:color w:val="000000" w:themeColor="text1"/>
          <w:sz w:val="22"/>
          <w:szCs w:val="22"/>
          <w:lang w:val="es-ES"/>
        </w:rPr>
      </w:pPr>
    </w:p>
    <w:p w14:paraId="33DA3508" w14:textId="77777777" w:rsidR="00FC528A" w:rsidRPr="00FC528A" w:rsidRDefault="00FC528A" w:rsidP="00FC528A">
      <w:pPr>
        <w:jc w:val="both"/>
        <w:rPr>
          <w:rFonts w:ascii="Arial" w:eastAsia="Arial" w:hAnsi="Arial" w:cs="Arial"/>
          <w:bCs/>
          <w:color w:val="000000" w:themeColor="text1"/>
          <w:sz w:val="22"/>
          <w:szCs w:val="22"/>
          <w:lang w:val="es-ES"/>
        </w:rPr>
      </w:pPr>
      <w:r w:rsidRPr="00FC528A">
        <w:rPr>
          <w:rFonts w:ascii="Arial" w:eastAsia="Arial" w:hAnsi="Arial" w:cs="Arial"/>
          <w:bCs/>
          <w:color w:val="000000" w:themeColor="text1"/>
          <w:sz w:val="22"/>
          <w:szCs w:val="22"/>
          <w:lang w:val="es-ES"/>
        </w:rPr>
        <w:t xml:space="preserve">El 8 de abril del 2022, se publicó en el Periódico Oficial “Gaceta del Gobierno” el Decreto Número 46 de la LXI Legislatura que establece medidas y acciones para fortalecer a las Procuradurías de Protección Municipales mediante la profesionalización y especialización de los titulares, así como del personal a su cargo. </w:t>
      </w:r>
    </w:p>
    <w:p w14:paraId="7F4323CF" w14:textId="77777777" w:rsidR="00355928" w:rsidRDefault="00355928" w:rsidP="00FC528A">
      <w:pPr>
        <w:jc w:val="both"/>
        <w:rPr>
          <w:rFonts w:ascii="Arial" w:eastAsia="Arial" w:hAnsi="Arial" w:cs="Arial"/>
          <w:bCs/>
          <w:color w:val="000000" w:themeColor="text1"/>
          <w:sz w:val="22"/>
          <w:szCs w:val="22"/>
          <w:lang w:val="es-ES"/>
        </w:rPr>
      </w:pPr>
    </w:p>
    <w:p w14:paraId="5BFF9268" w14:textId="150DAB67" w:rsidR="00FC528A" w:rsidRPr="00FC528A" w:rsidRDefault="00355928" w:rsidP="00FC528A">
      <w:pPr>
        <w:jc w:val="both"/>
        <w:rPr>
          <w:rFonts w:ascii="Arial" w:eastAsia="Arial" w:hAnsi="Arial" w:cs="Arial"/>
          <w:bCs/>
          <w:color w:val="000000" w:themeColor="text1"/>
          <w:sz w:val="22"/>
          <w:szCs w:val="22"/>
          <w:lang w:val="es-ES"/>
        </w:rPr>
      </w:pPr>
      <w:r>
        <w:rPr>
          <w:rFonts w:ascii="Arial" w:eastAsia="Arial" w:hAnsi="Arial" w:cs="Arial"/>
          <w:bCs/>
          <w:color w:val="000000" w:themeColor="text1"/>
          <w:sz w:val="22"/>
          <w:szCs w:val="22"/>
          <w:lang w:val="es-ES"/>
        </w:rPr>
        <w:t>A pesar de los grandes esfuerzos realizados, l</w:t>
      </w:r>
      <w:r w:rsidR="00FC528A" w:rsidRPr="00FC528A">
        <w:rPr>
          <w:rFonts w:ascii="Arial" w:eastAsia="Arial" w:hAnsi="Arial" w:cs="Arial"/>
          <w:bCs/>
          <w:color w:val="000000" w:themeColor="text1"/>
          <w:sz w:val="22"/>
          <w:szCs w:val="22"/>
          <w:lang w:val="es-ES"/>
        </w:rPr>
        <w:t xml:space="preserve">a violencia contra los menores de edad es </w:t>
      </w:r>
      <w:r w:rsidRPr="00FC528A">
        <w:rPr>
          <w:rFonts w:ascii="Arial" w:eastAsia="Arial" w:hAnsi="Arial" w:cs="Arial"/>
          <w:bCs/>
          <w:color w:val="000000" w:themeColor="text1"/>
          <w:sz w:val="22"/>
          <w:szCs w:val="22"/>
          <w:lang w:val="es-ES"/>
        </w:rPr>
        <w:t>un</w:t>
      </w:r>
      <w:r>
        <w:rPr>
          <w:rFonts w:ascii="Arial" w:eastAsia="Arial" w:hAnsi="Arial" w:cs="Arial"/>
          <w:bCs/>
          <w:color w:val="000000" w:themeColor="text1"/>
          <w:sz w:val="22"/>
          <w:szCs w:val="22"/>
          <w:lang w:val="es-ES"/>
        </w:rPr>
        <w:t xml:space="preserve">a de nuestras prioridades a erradicar y es un punto hacia el que deben dirigirse nuestros esfuerzos; </w:t>
      </w:r>
      <w:r w:rsidR="00FC528A" w:rsidRPr="00FC528A">
        <w:rPr>
          <w:rFonts w:ascii="Arial" w:eastAsia="Arial" w:hAnsi="Arial" w:cs="Arial"/>
          <w:bCs/>
          <w:color w:val="000000" w:themeColor="text1"/>
          <w:sz w:val="22"/>
          <w:szCs w:val="22"/>
          <w:lang w:val="es-ES"/>
        </w:rPr>
        <w:t xml:space="preserve">según la OCDE, México ocupa el primer lugar en violencia física, abuso sexual y homicidios cometidos en contra de menores de 14 años, </w:t>
      </w:r>
      <w:r>
        <w:rPr>
          <w:rFonts w:ascii="Arial" w:eastAsia="Arial" w:hAnsi="Arial" w:cs="Arial"/>
          <w:bCs/>
          <w:color w:val="000000" w:themeColor="text1"/>
          <w:sz w:val="22"/>
          <w:szCs w:val="22"/>
          <w:lang w:val="es-ES"/>
        </w:rPr>
        <w:t>y</w:t>
      </w:r>
      <w:r w:rsidR="00FC528A" w:rsidRPr="00FC528A">
        <w:rPr>
          <w:rFonts w:ascii="Arial" w:eastAsia="Arial" w:hAnsi="Arial" w:cs="Arial"/>
          <w:bCs/>
          <w:color w:val="000000" w:themeColor="text1"/>
          <w:sz w:val="22"/>
          <w:szCs w:val="22"/>
          <w:lang w:val="es-ES"/>
        </w:rPr>
        <w:t xml:space="preserve"> el 90% de los abusos sexuales se cometen por algún familiar cercano lo que provoca muchas veces que el menor quede en desamparo por su núcleo más cercano</w:t>
      </w:r>
      <w:r>
        <w:rPr>
          <w:rFonts w:ascii="Arial" w:eastAsia="Arial" w:hAnsi="Arial" w:cs="Arial"/>
          <w:bCs/>
          <w:color w:val="000000" w:themeColor="text1"/>
          <w:sz w:val="22"/>
          <w:szCs w:val="22"/>
          <w:lang w:val="es-ES"/>
        </w:rPr>
        <w:t>, por lo que es de vital importancia contar con instituciones sólidas que permitan proteger de forma integral a las niñas, niños y adolescentes</w:t>
      </w:r>
      <w:r w:rsidR="00FC528A" w:rsidRPr="00FC528A">
        <w:rPr>
          <w:rFonts w:ascii="Arial" w:eastAsia="Arial" w:hAnsi="Arial" w:cs="Arial"/>
          <w:bCs/>
          <w:color w:val="000000" w:themeColor="text1"/>
          <w:sz w:val="22"/>
          <w:szCs w:val="22"/>
          <w:lang w:val="es-ES"/>
        </w:rPr>
        <w:t>.</w:t>
      </w:r>
    </w:p>
    <w:p w14:paraId="76A08CF3" w14:textId="77777777" w:rsidR="00FC528A" w:rsidRPr="00FC528A" w:rsidRDefault="00FC528A" w:rsidP="00FC528A">
      <w:pPr>
        <w:jc w:val="both"/>
        <w:rPr>
          <w:rFonts w:ascii="Arial" w:eastAsia="Arial" w:hAnsi="Arial" w:cs="Arial"/>
          <w:bCs/>
          <w:color w:val="000000" w:themeColor="text1"/>
          <w:sz w:val="22"/>
          <w:szCs w:val="22"/>
          <w:lang w:val="es-ES"/>
        </w:rPr>
      </w:pPr>
    </w:p>
    <w:p w14:paraId="084C3912" w14:textId="4AEDF4CF" w:rsidR="00FC528A" w:rsidRPr="00FC528A" w:rsidRDefault="00FC528A" w:rsidP="00FC528A">
      <w:pPr>
        <w:jc w:val="both"/>
        <w:rPr>
          <w:rFonts w:ascii="Arial" w:eastAsia="Arial" w:hAnsi="Arial" w:cs="Arial"/>
          <w:bCs/>
          <w:color w:val="000000" w:themeColor="text1"/>
          <w:sz w:val="22"/>
          <w:szCs w:val="22"/>
          <w:lang w:val="es-ES"/>
        </w:rPr>
      </w:pPr>
      <w:r w:rsidRPr="00FC528A">
        <w:rPr>
          <w:rFonts w:ascii="Arial" w:eastAsia="Arial" w:hAnsi="Arial" w:cs="Arial"/>
          <w:bCs/>
          <w:color w:val="000000" w:themeColor="text1"/>
          <w:sz w:val="22"/>
          <w:szCs w:val="22"/>
          <w:lang w:val="es-ES"/>
        </w:rPr>
        <w:t xml:space="preserve">Con el fin de permitir a los niños, niñas y adolescentes en México el tener un pleno acceso a sus derechos la UNICEF publicó “La Agenda de la Infancia y la Adolescencia 2019-2024”, en la cual </w:t>
      </w:r>
      <w:r w:rsidR="00396DA8">
        <w:rPr>
          <w:rFonts w:ascii="Arial" w:eastAsia="Arial" w:hAnsi="Arial" w:cs="Arial"/>
          <w:bCs/>
          <w:color w:val="000000" w:themeColor="text1"/>
          <w:sz w:val="22"/>
          <w:szCs w:val="22"/>
          <w:lang w:val="es-ES"/>
        </w:rPr>
        <w:t>se señala que, para lograr</w:t>
      </w:r>
      <w:r w:rsidRPr="00FC528A">
        <w:rPr>
          <w:rFonts w:ascii="Arial" w:eastAsia="Arial" w:hAnsi="Arial" w:cs="Arial"/>
          <w:bCs/>
          <w:color w:val="000000" w:themeColor="text1"/>
          <w:sz w:val="22"/>
          <w:szCs w:val="22"/>
          <w:lang w:val="es-ES"/>
        </w:rPr>
        <w:t xml:space="preserve"> procesos de procuración e impartición de justicia para niños, niñas y adolescentes</w:t>
      </w:r>
      <w:r w:rsidR="00396DA8">
        <w:rPr>
          <w:rFonts w:ascii="Arial" w:eastAsia="Arial" w:hAnsi="Arial" w:cs="Arial"/>
          <w:bCs/>
          <w:color w:val="000000" w:themeColor="text1"/>
          <w:sz w:val="22"/>
          <w:szCs w:val="22"/>
          <w:lang w:val="es-ES"/>
        </w:rPr>
        <w:t xml:space="preserve"> atendiendo al interés superior de la niñez,</w:t>
      </w:r>
      <w:r w:rsidRPr="00FC528A">
        <w:rPr>
          <w:rFonts w:ascii="Arial" w:eastAsia="Arial" w:hAnsi="Arial" w:cs="Arial"/>
          <w:bCs/>
          <w:color w:val="000000" w:themeColor="text1"/>
          <w:sz w:val="22"/>
          <w:szCs w:val="22"/>
          <w:lang w:val="es-ES"/>
        </w:rPr>
        <w:t xml:space="preserve"> es necesario que los titulares de las Procuradurías de Protección Municipal estén debidamente capacitados y preparados para procurar un debido desempeño de sus funciones</w:t>
      </w:r>
      <w:r w:rsidR="00396DA8">
        <w:rPr>
          <w:rFonts w:ascii="Arial" w:eastAsia="Arial" w:hAnsi="Arial" w:cs="Arial"/>
          <w:bCs/>
          <w:color w:val="000000" w:themeColor="text1"/>
          <w:sz w:val="22"/>
          <w:szCs w:val="22"/>
          <w:lang w:val="es-ES"/>
        </w:rPr>
        <w:t>,</w:t>
      </w:r>
      <w:r w:rsidRPr="00FC528A">
        <w:rPr>
          <w:rFonts w:ascii="Arial" w:eastAsia="Arial" w:hAnsi="Arial" w:cs="Arial"/>
          <w:bCs/>
          <w:color w:val="000000" w:themeColor="text1"/>
          <w:sz w:val="22"/>
          <w:szCs w:val="22"/>
          <w:lang w:val="es-ES"/>
        </w:rPr>
        <w:t xml:space="preserve"> y con esto asegurar en todo momento el reconocimiento de los derechos de todos los niños, niñas y adolescentes, sin importar las circunstancias en las que se desarrollen.</w:t>
      </w:r>
    </w:p>
    <w:p w14:paraId="7A7FB739" w14:textId="77777777" w:rsidR="00FC528A" w:rsidRPr="00FC528A" w:rsidRDefault="00FC528A" w:rsidP="00FC528A">
      <w:pPr>
        <w:jc w:val="both"/>
        <w:rPr>
          <w:rFonts w:ascii="Arial" w:eastAsia="Arial" w:hAnsi="Arial" w:cs="Arial"/>
          <w:b/>
          <w:color w:val="000000" w:themeColor="text1"/>
          <w:sz w:val="22"/>
          <w:szCs w:val="22"/>
          <w:lang w:val="es-ES"/>
        </w:rPr>
      </w:pPr>
    </w:p>
    <w:p w14:paraId="10A4EC5D" w14:textId="77777777" w:rsidR="00FC528A" w:rsidRDefault="00FC528A" w:rsidP="00FC528A">
      <w:pPr>
        <w:jc w:val="both"/>
        <w:rPr>
          <w:rFonts w:ascii="Arial" w:eastAsia="Arial" w:hAnsi="Arial" w:cs="Arial"/>
          <w:bCs/>
          <w:color w:val="000000" w:themeColor="text1"/>
          <w:sz w:val="22"/>
          <w:szCs w:val="22"/>
        </w:rPr>
      </w:pPr>
      <w:r w:rsidRPr="00F133FB">
        <w:rPr>
          <w:rFonts w:ascii="Arial" w:eastAsia="Arial" w:hAnsi="Arial" w:cs="Arial"/>
          <w:bCs/>
          <w:color w:val="000000" w:themeColor="text1"/>
          <w:sz w:val="22"/>
          <w:szCs w:val="22"/>
        </w:rPr>
        <w:t xml:space="preserve">Por lo anteriormente expuesto se somete a la consideración de esa H. Soberanía Popular, la presente Iniciativa de Decreto, para que, de estimarlo pertinente se apruebe en sus términos. </w:t>
      </w:r>
    </w:p>
    <w:p w14:paraId="220C5992" w14:textId="77777777" w:rsidR="00FC528A" w:rsidRDefault="00FC528A" w:rsidP="00FC528A">
      <w:pPr>
        <w:rPr>
          <w:rFonts w:ascii="Arial" w:eastAsia="Arial" w:hAnsi="Arial" w:cs="Arial"/>
          <w:bCs/>
          <w:color w:val="000000" w:themeColor="text1"/>
          <w:sz w:val="22"/>
          <w:szCs w:val="22"/>
        </w:rPr>
      </w:pPr>
      <w:r>
        <w:rPr>
          <w:rFonts w:ascii="Arial" w:eastAsia="Arial" w:hAnsi="Arial" w:cs="Arial"/>
          <w:bCs/>
          <w:color w:val="000000" w:themeColor="text1"/>
          <w:sz w:val="22"/>
          <w:szCs w:val="22"/>
        </w:rPr>
        <w:br w:type="page"/>
      </w:r>
    </w:p>
    <w:p w14:paraId="4ED4E8D7" w14:textId="77777777" w:rsidR="00FC528A" w:rsidRPr="00F133FB" w:rsidRDefault="00FC528A" w:rsidP="00FC528A">
      <w:pPr>
        <w:jc w:val="both"/>
        <w:rPr>
          <w:rFonts w:ascii="Arial" w:eastAsia="Arial" w:hAnsi="Arial" w:cs="Arial"/>
          <w:b/>
          <w:color w:val="000000" w:themeColor="text1"/>
          <w:sz w:val="22"/>
          <w:szCs w:val="22"/>
        </w:rPr>
      </w:pPr>
      <w:r w:rsidRPr="00F133FB">
        <w:rPr>
          <w:rFonts w:ascii="Arial" w:eastAsia="Arial" w:hAnsi="Arial" w:cs="Arial"/>
          <w:b/>
          <w:color w:val="000000" w:themeColor="text1"/>
          <w:sz w:val="22"/>
          <w:szCs w:val="22"/>
        </w:rPr>
        <w:lastRenderedPageBreak/>
        <w:t xml:space="preserve">DECRETO NÚMERO </w:t>
      </w:r>
    </w:p>
    <w:p w14:paraId="58F55FCA" w14:textId="77777777" w:rsidR="00FC528A" w:rsidRPr="00F133FB" w:rsidRDefault="00FC528A" w:rsidP="00FC528A">
      <w:pPr>
        <w:jc w:val="both"/>
        <w:rPr>
          <w:rFonts w:ascii="Arial" w:eastAsia="Arial" w:hAnsi="Arial" w:cs="Arial"/>
          <w:b/>
          <w:color w:val="000000" w:themeColor="text1"/>
          <w:sz w:val="22"/>
          <w:szCs w:val="22"/>
        </w:rPr>
      </w:pPr>
      <w:r w:rsidRPr="00F133FB">
        <w:rPr>
          <w:rFonts w:ascii="Arial" w:eastAsia="Arial" w:hAnsi="Arial" w:cs="Arial"/>
          <w:b/>
          <w:color w:val="000000" w:themeColor="text1"/>
          <w:sz w:val="22"/>
          <w:szCs w:val="22"/>
        </w:rPr>
        <w:t xml:space="preserve">LA H. “LXI” LEGISLATURA </w:t>
      </w:r>
      <w:r w:rsidRPr="00F133FB">
        <w:rPr>
          <w:rFonts w:ascii="Arial" w:eastAsia="Arial" w:hAnsi="Arial" w:cs="Arial"/>
          <w:b/>
          <w:color w:val="000000" w:themeColor="text1"/>
          <w:sz w:val="22"/>
          <w:szCs w:val="22"/>
        </w:rPr>
        <w:tab/>
      </w:r>
    </w:p>
    <w:p w14:paraId="5868A07F" w14:textId="77777777" w:rsidR="00FC528A" w:rsidRPr="00F133FB" w:rsidRDefault="00FC528A" w:rsidP="00FC528A">
      <w:pPr>
        <w:jc w:val="both"/>
        <w:rPr>
          <w:rFonts w:ascii="Arial" w:eastAsia="Arial" w:hAnsi="Arial" w:cs="Arial"/>
          <w:b/>
          <w:color w:val="000000" w:themeColor="text1"/>
          <w:sz w:val="22"/>
          <w:szCs w:val="22"/>
        </w:rPr>
      </w:pPr>
      <w:r w:rsidRPr="00F133FB">
        <w:rPr>
          <w:rFonts w:ascii="Arial" w:eastAsia="Arial" w:hAnsi="Arial" w:cs="Arial"/>
          <w:b/>
          <w:color w:val="000000" w:themeColor="text1"/>
          <w:sz w:val="22"/>
          <w:szCs w:val="22"/>
        </w:rPr>
        <w:t>DEL ESTADO DE MÉXICO</w:t>
      </w:r>
    </w:p>
    <w:p w14:paraId="40E2195B" w14:textId="77777777" w:rsidR="00FC528A" w:rsidRPr="00F133FB" w:rsidRDefault="00FC528A" w:rsidP="00FC528A">
      <w:pPr>
        <w:jc w:val="both"/>
        <w:rPr>
          <w:rFonts w:ascii="Arial" w:eastAsia="Arial" w:hAnsi="Arial" w:cs="Arial"/>
          <w:b/>
          <w:color w:val="000000" w:themeColor="text1"/>
          <w:sz w:val="22"/>
          <w:szCs w:val="22"/>
        </w:rPr>
      </w:pPr>
      <w:r w:rsidRPr="00F133FB">
        <w:rPr>
          <w:rFonts w:ascii="Arial" w:eastAsia="Arial" w:hAnsi="Arial" w:cs="Arial"/>
          <w:b/>
          <w:color w:val="000000" w:themeColor="text1"/>
          <w:sz w:val="22"/>
          <w:szCs w:val="22"/>
        </w:rPr>
        <w:t>DECRETA:</w:t>
      </w:r>
    </w:p>
    <w:p w14:paraId="3CF37D25" w14:textId="77777777" w:rsidR="00FC528A" w:rsidRPr="00F133FB" w:rsidRDefault="00FC528A" w:rsidP="00FC528A">
      <w:pPr>
        <w:jc w:val="both"/>
        <w:rPr>
          <w:rFonts w:ascii="Arial" w:eastAsia="Arial" w:hAnsi="Arial" w:cs="Arial"/>
          <w:b/>
          <w:color w:val="000000" w:themeColor="text1"/>
          <w:sz w:val="22"/>
          <w:szCs w:val="22"/>
        </w:rPr>
      </w:pPr>
    </w:p>
    <w:p w14:paraId="6414BA0C" w14:textId="77777777" w:rsidR="00FC528A" w:rsidRPr="00F133FB" w:rsidRDefault="00FC528A" w:rsidP="00FC528A">
      <w:pPr>
        <w:jc w:val="both"/>
        <w:rPr>
          <w:rFonts w:ascii="Arial" w:eastAsia="Arial" w:hAnsi="Arial" w:cs="Arial"/>
          <w:b/>
          <w:color w:val="000000" w:themeColor="text1"/>
          <w:sz w:val="22"/>
          <w:szCs w:val="22"/>
          <w:lang w:val="es-ES"/>
        </w:rPr>
      </w:pPr>
    </w:p>
    <w:p w14:paraId="1FFB5B22" w14:textId="77777777" w:rsidR="000A78CD" w:rsidRPr="000A78CD" w:rsidRDefault="00FC528A" w:rsidP="000A78CD">
      <w:pPr>
        <w:jc w:val="both"/>
        <w:rPr>
          <w:rFonts w:ascii="Arial" w:eastAsia="Arial" w:hAnsi="Arial" w:cs="Arial"/>
          <w:color w:val="000000" w:themeColor="text1"/>
          <w:sz w:val="22"/>
          <w:szCs w:val="22"/>
          <w:lang w:val="es-MX"/>
        </w:rPr>
      </w:pPr>
      <w:r w:rsidRPr="00F133FB">
        <w:rPr>
          <w:rFonts w:ascii="Arial" w:eastAsia="Arial" w:hAnsi="Arial" w:cs="Arial"/>
          <w:b/>
          <w:color w:val="000000" w:themeColor="text1"/>
          <w:sz w:val="22"/>
          <w:szCs w:val="22"/>
          <w:lang w:val="es-ES"/>
        </w:rPr>
        <w:t xml:space="preserve">ARTÍCULO ÚNICO. </w:t>
      </w:r>
      <w:r w:rsidR="000A78CD" w:rsidRPr="000A78CD">
        <w:rPr>
          <w:rFonts w:ascii="Arial" w:eastAsia="Arial" w:hAnsi="Arial" w:cs="Arial"/>
          <w:color w:val="000000" w:themeColor="text1"/>
          <w:sz w:val="22"/>
          <w:szCs w:val="22"/>
          <w:lang w:val="es-MX"/>
        </w:rPr>
        <w:t>Se reforma el segundo párrafo del artículo 94 Bis de la Ley</w:t>
      </w:r>
      <w:r w:rsidR="000A78CD" w:rsidRPr="000A78CD">
        <w:rPr>
          <w:rFonts w:ascii="Arial" w:eastAsia="Arial" w:hAnsi="Arial" w:cs="Arial"/>
          <w:color w:val="000000" w:themeColor="text1"/>
          <w:sz w:val="22"/>
          <w:szCs w:val="22"/>
          <w:lang w:val="es-ES"/>
        </w:rPr>
        <w:t xml:space="preserve"> de los Derechos de Niñas, Niños y Adolescentes del Estado de México</w:t>
      </w:r>
      <w:r w:rsidR="000A78CD" w:rsidRPr="000A78CD">
        <w:rPr>
          <w:rFonts w:ascii="Arial" w:eastAsia="Arial" w:hAnsi="Arial" w:cs="Arial"/>
          <w:color w:val="000000" w:themeColor="text1"/>
          <w:sz w:val="22"/>
          <w:szCs w:val="22"/>
          <w:lang w:val="es-MX"/>
        </w:rPr>
        <w:t xml:space="preserve">, para quedar como sigue: </w:t>
      </w:r>
    </w:p>
    <w:p w14:paraId="19755DBA" w14:textId="77777777" w:rsidR="000A78CD" w:rsidRPr="000A78CD" w:rsidRDefault="000A78CD" w:rsidP="000A78CD">
      <w:pPr>
        <w:jc w:val="both"/>
        <w:rPr>
          <w:rFonts w:ascii="Arial" w:eastAsia="Arial" w:hAnsi="Arial" w:cs="Arial"/>
          <w:i/>
          <w:color w:val="000000" w:themeColor="text1"/>
          <w:sz w:val="22"/>
          <w:szCs w:val="22"/>
          <w:lang w:val="es-MX"/>
        </w:rPr>
      </w:pPr>
    </w:p>
    <w:p w14:paraId="46995AB3" w14:textId="77777777" w:rsidR="000A78CD" w:rsidRPr="000A78CD" w:rsidRDefault="000A78CD" w:rsidP="000A78CD">
      <w:pPr>
        <w:jc w:val="both"/>
        <w:rPr>
          <w:rFonts w:ascii="Arial" w:eastAsia="Arial" w:hAnsi="Arial" w:cs="Arial"/>
          <w:iCs/>
          <w:color w:val="000000" w:themeColor="text1"/>
          <w:sz w:val="22"/>
          <w:szCs w:val="22"/>
          <w:lang w:val="es-MX"/>
        </w:rPr>
      </w:pPr>
      <w:r w:rsidRPr="000A78CD">
        <w:rPr>
          <w:rFonts w:ascii="Arial" w:eastAsia="Arial" w:hAnsi="Arial" w:cs="Arial"/>
          <w:b/>
          <w:bCs/>
          <w:iCs/>
          <w:color w:val="000000" w:themeColor="text1"/>
          <w:sz w:val="22"/>
          <w:szCs w:val="22"/>
          <w:lang w:val="es-MX"/>
        </w:rPr>
        <w:t>Artículo 94 Bis.</w:t>
      </w:r>
      <w:r w:rsidRPr="000A78CD">
        <w:rPr>
          <w:rFonts w:ascii="Arial" w:eastAsia="Arial" w:hAnsi="Arial" w:cs="Arial"/>
          <w:iCs/>
          <w:color w:val="000000" w:themeColor="text1"/>
          <w:sz w:val="22"/>
          <w:szCs w:val="22"/>
          <w:lang w:val="es-MX"/>
        </w:rPr>
        <w:t xml:space="preserve"> …</w:t>
      </w:r>
    </w:p>
    <w:p w14:paraId="04394C5D" w14:textId="77777777" w:rsidR="000A78CD" w:rsidRPr="000A78CD" w:rsidRDefault="000A78CD" w:rsidP="000A78CD">
      <w:pPr>
        <w:jc w:val="both"/>
        <w:rPr>
          <w:rFonts w:ascii="Arial" w:eastAsia="Arial" w:hAnsi="Arial" w:cs="Arial"/>
          <w:iCs/>
          <w:color w:val="000000" w:themeColor="text1"/>
          <w:sz w:val="22"/>
          <w:szCs w:val="22"/>
          <w:lang w:val="es-MX"/>
        </w:rPr>
      </w:pPr>
    </w:p>
    <w:p w14:paraId="25333C44" w14:textId="77777777" w:rsidR="000A78CD" w:rsidRPr="000A78CD" w:rsidRDefault="000A78CD" w:rsidP="000A78CD">
      <w:pPr>
        <w:jc w:val="both"/>
        <w:rPr>
          <w:rFonts w:ascii="Arial" w:eastAsia="Arial" w:hAnsi="Arial" w:cs="Arial"/>
          <w:iCs/>
          <w:color w:val="000000" w:themeColor="text1"/>
          <w:sz w:val="22"/>
          <w:szCs w:val="22"/>
          <w:lang w:val="es-MX"/>
        </w:rPr>
      </w:pPr>
      <w:r w:rsidRPr="006C57BD">
        <w:rPr>
          <w:rFonts w:ascii="Arial" w:eastAsia="Arial" w:hAnsi="Arial" w:cs="Arial"/>
          <w:b/>
          <w:bCs/>
          <w:iCs/>
          <w:color w:val="000000" w:themeColor="text1"/>
          <w:sz w:val="22"/>
          <w:szCs w:val="22"/>
          <w:lang w:val="es-MX"/>
        </w:rPr>
        <w:t>I</w:t>
      </w:r>
      <w:r w:rsidRPr="000A78CD">
        <w:rPr>
          <w:rFonts w:ascii="Arial" w:eastAsia="Arial" w:hAnsi="Arial" w:cs="Arial"/>
          <w:iCs/>
          <w:color w:val="000000" w:themeColor="text1"/>
          <w:sz w:val="22"/>
          <w:szCs w:val="22"/>
          <w:lang w:val="es-MX"/>
        </w:rPr>
        <w:t xml:space="preserve"> a </w:t>
      </w:r>
      <w:r w:rsidRPr="006C57BD">
        <w:rPr>
          <w:rFonts w:ascii="Arial" w:eastAsia="Arial" w:hAnsi="Arial" w:cs="Arial"/>
          <w:b/>
          <w:bCs/>
          <w:iCs/>
          <w:color w:val="000000" w:themeColor="text1"/>
          <w:sz w:val="22"/>
          <w:szCs w:val="22"/>
          <w:lang w:val="es-MX"/>
        </w:rPr>
        <w:t>IX</w:t>
      </w:r>
      <w:r w:rsidRPr="000A78CD">
        <w:rPr>
          <w:rFonts w:ascii="Arial" w:eastAsia="Arial" w:hAnsi="Arial" w:cs="Arial"/>
          <w:iCs/>
          <w:color w:val="000000" w:themeColor="text1"/>
          <w:sz w:val="22"/>
          <w:szCs w:val="22"/>
          <w:lang w:val="es-MX"/>
        </w:rPr>
        <w:t>. …</w:t>
      </w:r>
    </w:p>
    <w:p w14:paraId="399BC42F" w14:textId="77777777" w:rsidR="000A78CD" w:rsidRPr="000A78CD" w:rsidRDefault="000A78CD" w:rsidP="000A78CD">
      <w:pPr>
        <w:jc w:val="both"/>
        <w:rPr>
          <w:rFonts w:ascii="Arial" w:eastAsia="Arial" w:hAnsi="Arial" w:cs="Arial"/>
          <w:b/>
          <w:i/>
          <w:color w:val="000000" w:themeColor="text1"/>
          <w:sz w:val="22"/>
          <w:szCs w:val="22"/>
          <w:lang w:val="es-MX"/>
        </w:rPr>
      </w:pPr>
    </w:p>
    <w:p w14:paraId="27C223DB" w14:textId="6A1F4E2F" w:rsidR="000A78CD" w:rsidRPr="000A78CD" w:rsidRDefault="000A78CD" w:rsidP="000A78CD">
      <w:pPr>
        <w:jc w:val="both"/>
        <w:rPr>
          <w:rFonts w:ascii="Arial" w:eastAsia="Arial" w:hAnsi="Arial" w:cs="Arial"/>
          <w:b/>
          <w:iCs/>
          <w:color w:val="000000" w:themeColor="text1"/>
          <w:sz w:val="22"/>
          <w:szCs w:val="22"/>
          <w:lang w:val="es-MX"/>
        </w:rPr>
      </w:pPr>
      <w:r w:rsidRPr="000A78CD">
        <w:rPr>
          <w:rFonts w:ascii="Arial" w:eastAsia="Arial" w:hAnsi="Arial" w:cs="Arial"/>
          <w:color w:val="000000" w:themeColor="text1"/>
          <w:sz w:val="22"/>
          <w:szCs w:val="22"/>
          <w:lang w:val="es-ES"/>
        </w:rPr>
        <w:t xml:space="preserve">Además de los anteriores, para el caso de personas titulares de las Procuradurías de Protección Municipal, se deberá aprobar la evaluación de conocimientos, previo curso de capacitación que realizará el DIFEM y contar con certificación de competencia laboral </w:t>
      </w:r>
      <w:r w:rsidR="00C02E33">
        <w:rPr>
          <w:rFonts w:ascii="Arial" w:eastAsia="Arial" w:hAnsi="Arial" w:cs="Arial"/>
          <w:b/>
          <w:bCs/>
          <w:color w:val="000000" w:themeColor="text1"/>
          <w:sz w:val="22"/>
          <w:szCs w:val="22"/>
          <w:lang w:val="es-ES"/>
        </w:rPr>
        <w:t xml:space="preserve">relacionada con la </w:t>
      </w:r>
      <w:r w:rsidRPr="000A78CD">
        <w:rPr>
          <w:rFonts w:ascii="Arial" w:eastAsia="Arial" w:hAnsi="Arial" w:cs="Arial"/>
          <w:b/>
          <w:bCs/>
          <w:color w:val="000000" w:themeColor="text1"/>
          <w:sz w:val="22"/>
          <w:szCs w:val="22"/>
          <w:lang w:val="es-ES"/>
        </w:rPr>
        <w:t xml:space="preserve"> protección integral y </w:t>
      </w:r>
      <w:r w:rsidR="00C02E33">
        <w:rPr>
          <w:rFonts w:ascii="Arial" w:eastAsia="Arial" w:hAnsi="Arial" w:cs="Arial"/>
          <w:b/>
          <w:bCs/>
          <w:color w:val="000000" w:themeColor="text1"/>
          <w:sz w:val="22"/>
          <w:szCs w:val="22"/>
          <w:lang w:val="es-ES"/>
        </w:rPr>
        <w:t xml:space="preserve">la </w:t>
      </w:r>
      <w:r w:rsidRPr="000A78CD">
        <w:rPr>
          <w:rFonts w:ascii="Arial" w:eastAsia="Arial" w:hAnsi="Arial" w:cs="Arial"/>
          <w:b/>
          <w:bCs/>
          <w:color w:val="000000" w:themeColor="text1"/>
          <w:sz w:val="22"/>
          <w:szCs w:val="22"/>
          <w:lang w:val="es-ES"/>
        </w:rPr>
        <w:t xml:space="preserve">restitución de derechos de las niñas, niños y adolescentes </w:t>
      </w:r>
      <w:r w:rsidRPr="000A78CD">
        <w:rPr>
          <w:rFonts w:ascii="Arial" w:eastAsia="Arial" w:hAnsi="Arial" w:cs="Arial"/>
          <w:b/>
          <w:bCs/>
          <w:color w:val="000000" w:themeColor="text1"/>
          <w:sz w:val="22"/>
          <w:szCs w:val="22"/>
          <w:lang w:val="es-MX"/>
        </w:rPr>
        <w:t>expedida por alguna institución con reconocimiento de validez oficial, que asegure los conocimientos y habilidades para desempeñar el cargo</w:t>
      </w:r>
      <w:r w:rsidRPr="000A78CD">
        <w:rPr>
          <w:rFonts w:ascii="Arial" w:eastAsia="Arial" w:hAnsi="Arial" w:cs="Arial"/>
          <w:color w:val="000000" w:themeColor="text1"/>
          <w:sz w:val="22"/>
          <w:szCs w:val="22"/>
          <w:lang w:val="es-ES"/>
        </w:rPr>
        <w:t>, lo cual se podrá acreditar antes de su designación y hasta 30 días hábiles posteriores a la misma, a fin de asegurar los conocimientos y habilidades para ocupar el cargo.</w:t>
      </w:r>
    </w:p>
    <w:p w14:paraId="39AD6632" w14:textId="5DE647CC" w:rsidR="00FC528A" w:rsidRPr="00F133FB" w:rsidRDefault="00FC528A" w:rsidP="000A78CD">
      <w:pPr>
        <w:jc w:val="both"/>
        <w:rPr>
          <w:rFonts w:ascii="Arial" w:hAnsi="Arial" w:cs="Arial"/>
          <w:color w:val="000000" w:themeColor="text1"/>
          <w:sz w:val="22"/>
          <w:szCs w:val="22"/>
          <w:lang w:val="es-ES"/>
        </w:rPr>
      </w:pPr>
    </w:p>
    <w:p w14:paraId="4C366E3F" w14:textId="77777777" w:rsidR="00FC528A" w:rsidRPr="00F133FB" w:rsidRDefault="00FC528A" w:rsidP="00FC528A">
      <w:pPr>
        <w:jc w:val="center"/>
        <w:rPr>
          <w:rFonts w:ascii="Arial" w:hAnsi="Arial" w:cs="Arial"/>
          <w:b/>
          <w:bCs/>
          <w:color w:val="000000" w:themeColor="text1"/>
          <w:sz w:val="22"/>
          <w:szCs w:val="22"/>
          <w:lang w:val="es-ES"/>
        </w:rPr>
      </w:pPr>
      <w:r w:rsidRPr="00F133FB">
        <w:rPr>
          <w:rFonts w:ascii="Arial" w:hAnsi="Arial" w:cs="Arial"/>
          <w:b/>
          <w:bCs/>
          <w:color w:val="000000" w:themeColor="text1"/>
          <w:sz w:val="22"/>
          <w:szCs w:val="22"/>
          <w:lang w:val="es-ES"/>
        </w:rPr>
        <w:t>TRANSITORIOS</w:t>
      </w:r>
    </w:p>
    <w:p w14:paraId="5F3037CF" w14:textId="77777777" w:rsidR="00FC528A" w:rsidRPr="00F133FB" w:rsidRDefault="00FC528A" w:rsidP="00FC528A">
      <w:pPr>
        <w:jc w:val="center"/>
        <w:rPr>
          <w:rFonts w:ascii="Arial" w:hAnsi="Arial" w:cs="Arial"/>
          <w:b/>
          <w:bCs/>
          <w:color w:val="000000" w:themeColor="text1"/>
          <w:sz w:val="22"/>
          <w:szCs w:val="22"/>
          <w:lang w:val="es-ES"/>
        </w:rPr>
      </w:pPr>
    </w:p>
    <w:p w14:paraId="57D9E0A1" w14:textId="77777777" w:rsidR="00FC528A" w:rsidRPr="00F133FB" w:rsidRDefault="00FC528A" w:rsidP="00FC528A">
      <w:pPr>
        <w:jc w:val="both"/>
        <w:rPr>
          <w:rFonts w:ascii="Arial" w:hAnsi="Arial" w:cs="Arial"/>
          <w:bCs/>
          <w:color w:val="000000" w:themeColor="text1"/>
          <w:sz w:val="22"/>
          <w:szCs w:val="22"/>
          <w:lang w:val="es-ES"/>
        </w:rPr>
      </w:pPr>
      <w:r w:rsidRPr="00F133FB">
        <w:rPr>
          <w:rFonts w:ascii="Arial" w:hAnsi="Arial" w:cs="Arial"/>
          <w:b/>
          <w:bCs/>
          <w:color w:val="000000" w:themeColor="text1"/>
          <w:sz w:val="22"/>
          <w:szCs w:val="22"/>
          <w:lang w:val="es-ES"/>
        </w:rPr>
        <w:t xml:space="preserve">PRIMERO. </w:t>
      </w:r>
      <w:r w:rsidRPr="00F133FB">
        <w:rPr>
          <w:rFonts w:ascii="Arial" w:hAnsi="Arial" w:cs="Arial"/>
          <w:bCs/>
          <w:color w:val="000000" w:themeColor="text1"/>
          <w:sz w:val="22"/>
          <w:szCs w:val="22"/>
          <w:lang w:val="es-ES"/>
        </w:rPr>
        <w:t>Publíquese el presente Decreto en el Periódico Oficial “Gaceta del Gobierno”.</w:t>
      </w:r>
    </w:p>
    <w:p w14:paraId="5C8B77EC" w14:textId="77777777" w:rsidR="00FC528A" w:rsidRPr="00F133FB" w:rsidRDefault="00FC528A" w:rsidP="00FC528A">
      <w:pPr>
        <w:jc w:val="both"/>
        <w:rPr>
          <w:rFonts w:ascii="Arial" w:hAnsi="Arial" w:cs="Arial"/>
          <w:bCs/>
          <w:color w:val="000000" w:themeColor="text1"/>
          <w:sz w:val="22"/>
          <w:szCs w:val="22"/>
          <w:lang w:val="es-ES"/>
        </w:rPr>
      </w:pPr>
    </w:p>
    <w:p w14:paraId="6D84871A" w14:textId="77777777" w:rsidR="00FC528A" w:rsidRPr="00F133FB" w:rsidRDefault="00FC528A" w:rsidP="00FC528A">
      <w:pPr>
        <w:jc w:val="both"/>
        <w:rPr>
          <w:rFonts w:ascii="Arial" w:hAnsi="Arial" w:cs="Arial"/>
          <w:bCs/>
          <w:color w:val="000000" w:themeColor="text1"/>
          <w:sz w:val="22"/>
          <w:szCs w:val="22"/>
          <w:lang w:val="es-ES"/>
        </w:rPr>
      </w:pPr>
      <w:r w:rsidRPr="00F133FB">
        <w:rPr>
          <w:rFonts w:ascii="Arial" w:hAnsi="Arial" w:cs="Arial"/>
          <w:b/>
          <w:bCs/>
          <w:color w:val="000000" w:themeColor="text1"/>
          <w:sz w:val="22"/>
          <w:szCs w:val="22"/>
          <w:lang w:val="es-ES"/>
        </w:rPr>
        <w:t>SEGUNDO</w:t>
      </w:r>
      <w:r w:rsidRPr="00F133FB">
        <w:rPr>
          <w:rFonts w:ascii="Arial" w:hAnsi="Arial" w:cs="Arial"/>
          <w:bCs/>
          <w:color w:val="000000" w:themeColor="text1"/>
          <w:sz w:val="22"/>
          <w:szCs w:val="22"/>
          <w:lang w:val="es-ES"/>
        </w:rPr>
        <w:t>. El presente Decreto entrará en vigor al día siguiente de su publicación en el Periódico Oficial “Gaceta del Gobierno”.</w:t>
      </w:r>
    </w:p>
    <w:p w14:paraId="103FDFA4" w14:textId="77777777" w:rsidR="00FC528A" w:rsidRPr="00F133FB" w:rsidRDefault="00FC528A" w:rsidP="00FC528A">
      <w:pPr>
        <w:jc w:val="both"/>
        <w:rPr>
          <w:rFonts w:ascii="Arial" w:hAnsi="Arial" w:cs="Arial"/>
          <w:bCs/>
          <w:color w:val="000000" w:themeColor="text1"/>
          <w:sz w:val="22"/>
          <w:szCs w:val="22"/>
          <w:lang w:val="es-ES"/>
        </w:rPr>
      </w:pPr>
    </w:p>
    <w:p w14:paraId="7D735F54" w14:textId="77777777" w:rsidR="00FC528A" w:rsidRPr="00F133FB" w:rsidRDefault="00FC528A" w:rsidP="00FC528A">
      <w:pPr>
        <w:rPr>
          <w:rFonts w:ascii="Arial" w:hAnsi="Arial" w:cs="Arial"/>
          <w:color w:val="000000" w:themeColor="text1"/>
          <w:sz w:val="22"/>
          <w:szCs w:val="22"/>
          <w:lang w:val="es-ES"/>
        </w:rPr>
      </w:pPr>
    </w:p>
    <w:p w14:paraId="2FCD8E09" w14:textId="77777777" w:rsidR="00037A45" w:rsidRPr="00FC528A" w:rsidRDefault="000B536D">
      <w:pPr>
        <w:rPr>
          <w:lang w:val="es-ES"/>
        </w:rPr>
      </w:pPr>
    </w:p>
    <w:sectPr w:rsidR="00037A45" w:rsidRPr="00FC528A" w:rsidSect="000D033B">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F638" w14:textId="77777777" w:rsidR="000B536D" w:rsidRDefault="000B536D">
      <w:r>
        <w:separator/>
      </w:r>
    </w:p>
  </w:endnote>
  <w:endnote w:type="continuationSeparator" w:id="0">
    <w:p w14:paraId="15A4BB72" w14:textId="77777777" w:rsidR="000B536D" w:rsidRDefault="000B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61838"/>
      <w:docPartObj>
        <w:docPartGallery w:val="Page Numbers (Bottom of Page)"/>
        <w:docPartUnique/>
      </w:docPartObj>
    </w:sdtPr>
    <w:sdtEndPr/>
    <w:sdtContent>
      <w:p w14:paraId="4E1D2807" w14:textId="77777777" w:rsidR="00697699" w:rsidRDefault="00396DA8">
        <w:pPr>
          <w:pStyle w:val="Piedepgina"/>
          <w:jc w:val="right"/>
        </w:pPr>
        <w:r>
          <w:fldChar w:fldCharType="begin"/>
        </w:r>
        <w:r>
          <w:instrText>PAGE   \* MERGEFORMAT</w:instrText>
        </w:r>
        <w:r>
          <w:fldChar w:fldCharType="separate"/>
        </w:r>
        <w:r w:rsidRPr="00BC7306">
          <w:rPr>
            <w:noProof/>
            <w:lang w:val="es-ES"/>
          </w:rPr>
          <w:t>7</w:t>
        </w:r>
        <w:r>
          <w:fldChar w:fldCharType="end"/>
        </w:r>
      </w:p>
    </w:sdtContent>
  </w:sdt>
  <w:p w14:paraId="4F9580F7" w14:textId="77777777" w:rsidR="00697699" w:rsidRDefault="000B5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CC79" w14:textId="77777777" w:rsidR="000B536D" w:rsidRDefault="000B536D">
      <w:r>
        <w:separator/>
      </w:r>
    </w:p>
  </w:footnote>
  <w:footnote w:type="continuationSeparator" w:id="0">
    <w:p w14:paraId="6C9A66AB" w14:textId="77777777" w:rsidR="000B536D" w:rsidRDefault="000B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8A"/>
    <w:rsid w:val="000A78CD"/>
    <w:rsid w:val="000B536D"/>
    <w:rsid w:val="000D033B"/>
    <w:rsid w:val="00274A71"/>
    <w:rsid w:val="00355928"/>
    <w:rsid w:val="00396DA8"/>
    <w:rsid w:val="003A027E"/>
    <w:rsid w:val="006472CC"/>
    <w:rsid w:val="006C57BD"/>
    <w:rsid w:val="007176D4"/>
    <w:rsid w:val="00735AD9"/>
    <w:rsid w:val="009B335C"/>
    <w:rsid w:val="00C02E33"/>
    <w:rsid w:val="00C55FD3"/>
    <w:rsid w:val="00DB279B"/>
    <w:rsid w:val="00E600A5"/>
    <w:rsid w:val="00F236AA"/>
    <w:rsid w:val="00F3061A"/>
    <w:rsid w:val="00FC5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8210"/>
  <w15:chartTrackingRefBased/>
  <w15:docId w15:val="{36DC7AAC-1E6B-7247-84A5-091B758E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8A"/>
    <w:rPr>
      <w:rFonts w:ascii="Times New Roman" w:eastAsia="Times New Roman" w:hAnsi="Times New Roman" w:cs="Times New Roman"/>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528A"/>
    <w:pPr>
      <w:autoSpaceDE w:val="0"/>
      <w:autoSpaceDN w:val="0"/>
      <w:adjustRightInd w:val="0"/>
    </w:pPr>
    <w:rPr>
      <w:rFonts w:ascii="Arial" w:eastAsia="Calibri" w:hAnsi="Arial" w:cs="Arial"/>
      <w:color w:val="000000"/>
      <w:lang w:eastAsia="es-MX"/>
    </w:rPr>
  </w:style>
  <w:style w:type="character" w:customStyle="1" w:styleId="PiedepginaCar">
    <w:name w:val="Pie de página Car"/>
    <w:basedOn w:val="Fuentedeprrafopredeter"/>
    <w:link w:val="Piedepgina"/>
    <w:uiPriority w:val="99"/>
    <w:rsid w:val="00FC528A"/>
    <w:rPr>
      <w:rFonts w:ascii="HelveticaNeueLT Std" w:hAnsi="HelveticaNeueLT Std"/>
      <w:sz w:val="20"/>
    </w:rPr>
  </w:style>
  <w:style w:type="paragraph" w:styleId="Piedepgina">
    <w:name w:val="footer"/>
    <w:basedOn w:val="Normal"/>
    <w:link w:val="PiedepginaCar"/>
    <w:uiPriority w:val="99"/>
    <w:unhideWhenUsed/>
    <w:rsid w:val="00FC528A"/>
    <w:pPr>
      <w:tabs>
        <w:tab w:val="center" w:pos="4419"/>
        <w:tab w:val="right" w:pos="8838"/>
      </w:tabs>
      <w:jc w:val="both"/>
    </w:pPr>
    <w:rPr>
      <w:rFonts w:ascii="HelveticaNeueLT Std" w:eastAsiaTheme="minorHAnsi" w:hAnsi="HelveticaNeueLT Std" w:cstheme="minorBidi"/>
      <w:sz w:val="20"/>
      <w:lang w:val="es-MX" w:eastAsia="en-US"/>
    </w:rPr>
  </w:style>
  <w:style w:type="character" w:customStyle="1" w:styleId="PiedepginaCar1">
    <w:name w:val="Pie de página Car1"/>
    <w:basedOn w:val="Fuentedeprrafopredeter"/>
    <w:uiPriority w:val="99"/>
    <w:semiHidden/>
    <w:rsid w:val="00FC528A"/>
    <w:rPr>
      <w:rFonts w:ascii="Times New Roman" w:eastAsia="Times New Roman" w:hAnsi="Times New Roman" w:cs="Times New Roman"/>
      <w:lang w:val="es-ES_tradnl" w:eastAsia="es-MX"/>
    </w:rPr>
  </w:style>
  <w:style w:type="paragraph" w:styleId="Revisin">
    <w:name w:val="Revision"/>
    <w:hidden/>
    <w:uiPriority w:val="99"/>
    <w:semiHidden/>
    <w:rsid w:val="00C02E33"/>
    <w:rPr>
      <w:rFonts w:ascii="Times New Roman" w:eastAsia="Times New Roman" w:hAnsi="Times New Roman" w:cs="Times New Roman"/>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PRODESK HP</cp:lastModifiedBy>
  <cp:revision>2</cp:revision>
  <dcterms:created xsi:type="dcterms:W3CDTF">2022-11-04T01:29:00Z</dcterms:created>
  <dcterms:modified xsi:type="dcterms:W3CDTF">2022-11-04T01:29:00Z</dcterms:modified>
</cp:coreProperties>
</file>